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9A5" w:rsidRPr="007042DE" w:rsidRDefault="00F939A5" w:rsidP="00F939A5">
      <w:pPr>
        <w:spacing w:line="240" w:lineRule="auto"/>
        <w:rPr>
          <w:rFonts w:asciiTheme="majorBidi" w:eastAsia="Calibri" w:hAnsiTheme="majorBidi" w:cstheme="majorBidi"/>
          <w:b/>
          <w:sz w:val="20"/>
          <w:szCs w:val="20"/>
          <w:lang w:val="en-ZA"/>
        </w:rPr>
      </w:pPr>
      <w:r w:rsidRPr="0049121E">
        <w:rPr>
          <w:rFonts w:ascii="Times New Roman" w:eastAsia="Calibri" w:hAnsi="Times New Roman" w:cs="Times New Roman"/>
          <w:b/>
          <w:sz w:val="24"/>
          <w:szCs w:val="24"/>
          <w:lang w:val="en-ZA"/>
        </w:rPr>
        <w:t xml:space="preserve">Feeding practices of mothers and/or caregivers of infants below the age of 6 months in four </w:t>
      </w:r>
      <w:r w:rsidRPr="007042DE">
        <w:rPr>
          <w:rFonts w:asciiTheme="majorBidi" w:eastAsia="Calibri" w:hAnsiTheme="majorBidi" w:cstheme="majorBidi"/>
          <w:b/>
          <w:sz w:val="20"/>
          <w:szCs w:val="20"/>
          <w:lang w:val="en-ZA"/>
        </w:rPr>
        <w:t>provinces in South Africa</w:t>
      </w:r>
    </w:p>
    <w:p w:rsidR="00F939A5" w:rsidRPr="007042DE" w:rsidRDefault="00F939A5" w:rsidP="00F939A5">
      <w:pPr>
        <w:spacing w:line="240" w:lineRule="auto"/>
        <w:rPr>
          <w:rFonts w:asciiTheme="majorBidi" w:eastAsia="Calibri" w:hAnsiTheme="majorBidi" w:cstheme="majorBidi"/>
          <w:sz w:val="20"/>
          <w:szCs w:val="20"/>
          <w:lang w:val="en-ZA"/>
        </w:rPr>
      </w:pPr>
      <w:r w:rsidRPr="007042DE">
        <w:rPr>
          <w:rFonts w:asciiTheme="majorBidi" w:eastAsia="Calibri" w:hAnsiTheme="majorBidi" w:cstheme="majorBidi"/>
          <w:b/>
          <w:sz w:val="20"/>
          <w:szCs w:val="20"/>
          <w:lang w:val="en-ZA"/>
        </w:rPr>
        <w:t>Linda P Siziba</w:t>
      </w:r>
      <w:r w:rsidR="007042DE" w:rsidRPr="007042DE">
        <w:rPr>
          <w:rFonts w:asciiTheme="majorBidi" w:eastAsia="Calibri" w:hAnsiTheme="majorBidi" w:cstheme="majorBidi"/>
          <w:b/>
          <w:sz w:val="20"/>
          <w:szCs w:val="20"/>
          <w:vertAlign w:val="superscript"/>
          <w:lang w:val="en-ZA"/>
        </w:rPr>
        <w:t>1</w:t>
      </w:r>
      <w:r w:rsidRPr="007042DE">
        <w:rPr>
          <w:rFonts w:asciiTheme="majorBidi" w:eastAsia="Calibri" w:hAnsiTheme="majorBidi" w:cstheme="majorBidi"/>
          <w:b/>
          <w:sz w:val="20"/>
          <w:szCs w:val="20"/>
          <w:lang w:val="en-ZA"/>
        </w:rPr>
        <w:t>, Johann Jerling</w:t>
      </w:r>
      <w:r w:rsidR="007042DE" w:rsidRPr="007042DE">
        <w:rPr>
          <w:rFonts w:asciiTheme="majorBidi" w:eastAsia="Calibri" w:hAnsiTheme="majorBidi" w:cstheme="majorBidi"/>
          <w:b/>
          <w:sz w:val="20"/>
          <w:szCs w:val="20"/>
          <w:vertAlign w:val="superscript"/>
          <w:lang w:val="en-ZA"/>
        </w:rPr>
        <w:t>1</w:t>
      </w:r>
      <w:r w:rsidRPr="007042DE">
        <w:rPr>
          <w:rFonts w:asciiTheme="majorBidi" w:eastAsia="Calibri" w:hAnsiTheme="majorBidi" w:cstheme="majorBidi"/>
          <w:b/>
          <w:sz w:val="20"/>
          <w:szCs w:val="20"/>
          <w:lang w:val="en-ZA"/>
        </w:rPr>
        <w:t>, Susanna M Hanekom</w:t>
      </w:r>
      <w:r w:rsidR="007042DE" w:rsidRPr="007042DE">
        <w:rPr>
          <w:rFonts w:asciiTheme="majorBidi" w:eastAsia="Calibri" w:hAnsiTheme="majorBidi" w:cstheme="majorBidi"/>
          <w:b/>
          <w:sz w:val="20"/>
          <w:szCs w:val="20"/>
          <w:vertAlign w:val="superscript"/>
          <w:lang w:val="en-ZA"/>
        </w:rPr>
        <w:t>1</w:t>
      </w:r>
      <w:r w:rsidRPr="007042DE">
        <w:rPr>
          <w:rFonts w:asciiTheme="majorBidi" w:eastAsia="Calibri" w:hAnsiTheme="majorBidi" w:cstheme="majorBidi"/>
          <w:b/>
          <w:sz w:val="20"/>
          <w:szCs w:val="20"/>
          <w:lang w:val="en-ZA"/>
        </w:rPr>
        <w:t>, Edelweiss Wentzel-Viljoen</w:t>
      </w:r>
      <w:r w:rsidR="007042DE" w:rsidRPr="007042DE">
        <w:rPr>
          <w:rFonts w:asciiTheme="majorBidi" w:eastAsia="Calibri" w:hAnsiTheme="majorBidi" w:cstheme="majorBidi"/>
          <w:b/>
          <w:sz w:val="20"/>
          <w:szCs w:val="20"/>
          <w:vertAlign w:val="superscript"/>
          <w:lang w:val="en-ZA"/>
        </w:rPr>
        <w:t>2</w:t>
      </w:r>
      <w:r w:rsidRPr="007042DE">
        <w:rPr>
          <w:rFonts w:asciiTheme="majorBidi" w:eastAsia="Calibri" w:hAnsiTheme="majorBidi" w:cstheme="majorBidi"/>
          <w:b/>
          <w:sz w:val="20"/>
          <w:szCs w:val="20"/>
          <w:lang w:val="en-ZA"/>
        </w:rPr>
        <w:tab/>
      </w:r>
      <w:r w:rsidRPr="007042DE">
        <w:rPr>
          <w:rFonts w:asciiTheme="majorBidi" w:eastAsia="Calibri" w:hAnsiTheme="majorBidi" w:cstheme="majorBidi"/>
          <w:sz w:val="20"/>
          <w:szCs w:val="20"/>
          <w:lang w:val="en-ZA"/>
        </w:rPr>
        <w:tab/>
        <w:t xml:space="preserve"> </w:t>
      </w:r>
      <w:r w:rsidRPr="007042DE">
        <w:rPr>
          <w:rFonts w:asciiTheme="majorBidi" w:eastAsia="Calibri" w:hAnsiTheme="majorBidi" w:cstheme="majorBidi"/>
          <w:sz w:val="20"/>
          <w:szCs w:val="20"/>
          <w:lang w:val="en-ZA"/>
        </w:rPr>
        <w:tab/>
        <w:t xml:space="preserve">                   </w:t>
      </w:r>
      <w:r w:rsidR="007042DE">
        <w:rPr>
          <w:rFonts w:asciiTheme="majorBidi" w:eastAsia="Calibri" w:hAnsiTheme="majorBidi" w:cstheme="majorBidi"/>
          <w:sz w:val="20"/>
          <w:szCs w:val="20"/>
          <w:lang w:val="en-ZA"/>
        </w:rPr>
        <w:t>1.</w:t>
      </w:r>
      <w:r w:rsidR="007042DE">
        <w:rPr>
          <w:rFonts w:asciiTheme="majorBidi" w:eastAsia="Calibri" w:hAnsiTheme="majorBidi" w:cstheme="majorBidi"/>
          <w:sz w:val="20"/>
          <w:szCs w:val="20"/>
          <w:lang w:val="en-ZA"/>
        </w:rPr>
        <w:tab/>
      </w:r>
      <w:r w:rsidRPr="007042DE">
        <w:rPr>
          <w:rFonts w:asciiTheme="majorBidi" w:eastAsia="Calibri" w:hAnsiTheme="majorBidi" w:cstheme="majorBidi"/>
          <w:sz w:val="20"/>
          <w:szCs w:val="20"/>
          <w:lang w:val="en-ZA"/>
        </w:rPr>
        <w:t xml:space="preserve">Centre of Excellence for Nutrition, North-West University, Private Bag X6001, Potchefstroom 2520, South Africa. </w:t>
      </w:r>
    </w:p>
    <w:p w:rsidR="007042DE" w:rsidRPr="007042DE" w:rsidRDefault="007042DE" w:rsidP="007042DE">
      <w:pPr>
        <w:spacing w:after="240"/>
        <w:rPr>
          <w:rFonts w:asciiTheme="majorBidi" w:hAnsiTheme="majorBidi" w:cstheme="majorBidi"/>
          <w:i/>
          <w:iCs/>
          <w:sz w:val="20"/>
          <w:szCs w:val="20"/>
          <w:lang w:val="en-ZA"/>
        </w:rPr>
      </w:pPr>
      <w:r>
        <w:rPr>
          <w:rStyle w:val="Emphasis"/>
          <w:rFonts w:asciiTheme="majorBidi" w:hAnsiTheme="majorBidi" w:cstheme="majorBidi"/>
          <w:i w:val="0"/>
          <w:iCs w:val="0"/>
          <w:sz w:val="20"/>
          <w:szCs w:val="20"/>
        </w:rPr>
        <w:t>2.</w:t>
      </w:r>
      <w:r>
        <w:rPr>
          <w:rStyle w:val="Emphasis"/>
          <w:rFonts w:asciiTheme="majorBidi" w:hAnsiTheme="majorBidi" w:cstheme="majorBidi"/>
          <w:i w:val="0"/>
          <w:iCs w:val="0"/>
          <w:sz w:val="20"/>
          <w:szCs w:val="20"/>
        </w:rPr>
        <w:tab/>
      </w:r>
      <w:bookmarkStart w:id="0" w:name="_GoBack"/>
      <w:bookmarkEnd w:id="0"/>
      <w:r w:rsidRPr="007042DE">
        <w:rPr>
          <w:rStyle w:val="Emphasis"/>
          <w:rFonts w:asciiTheme="majorBidi" w:hAnsiTheme="majorBidi" w:cstheme="majorBidi"/>
          <w:i w:val="0"/>
          <w:iCs w:val="0"/>
          <w:sz w:val="20"/>
          <w:szCs w:val="20"/>
        </w:rPr>
        <w:t>Medical Research Council Research Unit for Hypertension and Cardiovascular Disease, Faculty of  Health Sciences, North-West University, Private bag X6001, Potchefstroom, South Africa 2520</w:t>
      </w:r>
    </w:p>
    <w:p w:rsidR="007042DE" w:rsidRPr="007042DE" w:rsidRDefault="007042DE" w:rsidP="00F939A5">
      <w:pPr>
        <w:spacing w:line="240" w:lineRule="auto"/>
        <w:rPr>
          <w:rFonts w:asciiTheme="majorBidi" w:eastAsia="Calibri" w:hAnsiTheme="majorBidi" w:cstheme="majorBidi"/>
          <w:sz w:val="20"/>
          <w:szCs w:val="20"/>
          <w:lang w:val="en-ZA"/>
        </w:rPr>
      </w:pPr>
    </w:p>
    <w:p w:rsidR="00F939A5" w:rsidRPr="007042DE" w:rsidRDefault="00F939A5" w:rsidP="00F939A5">
      <w:pPr>
        <w:spacing w:line="240" w:lineRule="auto"/>
        <w:jc w:val="both"/>
        <w:rPr>
          <w:rFonts w:asciiTheme="majorBidi" w:eastAsia="Calibri" w:hAnsiTheme="majorBidi" w:cstheme="majorBidi"/>
          <w:b/>
          <w:sz w:val="20"/>
          <w:szCs w:val="20"/>
          <w:lang w:val="en-ZA"/>
        </w:rPr>
      </w:pPr>
      <w:r w:rsidRPr="007042DE">
        <w:rPr>
          <w:rFonts w:asciiTheme="majorBidi" w:eastAsia="Calibri" w:hAnsiTheme="majorBidi" w:cstheme="majorBidi"/>
          <w:b/>
          <w:sz w:val="20"/>
          <w:szCs w:val="20"/>
          <w:lang w:val="en-ZA"/>
        </w:rPr>
        <w:t>Acknowledgements</w:t>
      </w:r>
    </w:p>
    <w:p w:rsidR="00F939A5" w:rsidRPr="0049121E" w:rsidRDefault="00F939A5" w:rsidP="00F939A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7042DE">
        <w:rPr>
          <w:rFonts w:asciiTheme="majorBidi" w:eastAsia="Calibri" w:hAnsiTheme="majorBidi" w:cstheme="majorBidi"/>
          <w:sz w:val="20"/>
          <w:szCs w:val="20"/>
          <w:lang w:val="en-ZA"/>
        </w:rPr>
        <w:t>The</w:t>
      </w:r>
      <w:r w:rsidRPr="0049121E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 authors would like to extend their utmost gratitude to all the participants that took part in the study, the research team; Portia Mantwa, Ndugiselo Muravha, Priscilla Nkhesani, Noleen Mohononi, Johan du Plessis and Ronel Benson; Chantell Witten for her invaluable support and effort; the health facility staff, as well as the following: UNICEF South Africa; Centre of Excellence for Nutrition and Statistics Consultation Services, North West University, Potchefstroom; National Department of Health and the organisation providing funding.</w:t>
      </w:r>
    </w:p>
    <w:p w:rsidR="00F939A5" w:rsidRPr="0049121E" w:rsidRDefault="00F939A5" w:rsidP="00F939A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ZA"/>
        </w:rPr>
        <w:t>Declarations</w:t>
      </w:r>
    </w:p>
    <w:p w:rsidR="00F939A5" w:rsidRPr="0049121E" w:rsidRDefault="00F939A5" w:rsidP="00F939A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49121E">
        <w:rPr>
          <w:rFonts w:ascii="Times New Roman" w:eastAsia="Calibri" w:hAnsi="Times New Roman" w:cs="Times New Roman"/>
          <w:sz w:val="24"/>
          <w:szCs w:val="24"/>
          <w:lang w:val="en-ZA"/>
        </w:rPr>
        <w:t>The study was funded by United Nations Children’s Fund (UNICEF).</w:t>
      </w:r>
    </w:p>
    <w:p w:rsidR="00F939A5" w:rsidRDefault="00F939A5" w:rsidP="00F939A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ZA"/>
        </w:rPr>
      </w:pPr>
      <w:r w:rsidRPr="0049121E">
        <w:rPr>
          <w:rFonts w:ascii="Times New Roman" w:eastAsia="Calibri" w:hAnsi="Times New Roman" w:cs="Times New Roman"/>
          <w:b/>
          <w:sz w:val="24"/>
          <w:szCs w:val="24"/>
          <w:lang w:val="en-ZA"/>
        </w:rPr>
        <w:t>Conflicts of interest</w:t>
      </w:r>
    </w:p>
    <w:p w:rsidR="00F939A5" w:rsidRDefault="00F939A5" w:rsidP="00F939A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49121E">
        <w:rPr>
          <w:rFonts w:ascii="Times New Roman" w:eastAsia="Calibri" w:hAnsi="Times New Roman" w:cs="Times New Roman"/>
          <w:sz w:val="24"/>
          <w:szCs w:val="24"/>
          <w:lang w:val="en-ZA"/>
        </w:rPr>
        <w:t>The authors declare that they have no conflicts of interest.</w:t>
      </w:r>
    </w:p>
    <w:p w:rsidR="00F939A5" w:rsidRPr="0049121E" w:rsidRDefault="00F939A5" w:rsidP="00F939A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ZA"/>
        </w:rPr>
      </w:pPr>
      <w:r w:rsidRPr="0049121E">
        <w:rPr>
          <w:rFonts w:ascii="Times New Roman" w:eastAsia="Calibri" w:hAnsi="Times New Roman" w:cs="Times New Roman"/>
          <w:b/>
          <w:sz w:val="24"/>
          <w:szCs w:val="24"/>
          <w:lang w:val="en-ZA"/>
        </w:rPr>
        <w:t>Contributions</w:t>
      </w:r>
    </w:p>
    <w:p w:rsidR="00F939A5" w:rsidRDefault="00F939A5" w:rsidP="00F939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49121E">
        <w:rPr>
          <w:rFonts w:ascii="Times New Roman" w:eastAsia="Calibri" w:hAnsi="Times New Roman" w:cs="Times New Roman"/>
          <w:sz w:val="24"/>
          <w:szCs w:val="24"/>
          <w:lang w:val="en-ZA"/>
        </w:rPr>
        <w:t>All the co-authors participated in the conceptualisation o</w:t>
      </w:r>
      <w:r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f the study. The manuscript was </w:t>
      </w:r>
      <w:r w:rsidRPr="0049121E">
        <w:rPr>
          <w:rFonts w:ascii="Times New Roman" w:eastAsia="Calibri" w:hAnsi="Times New Roman" w:cs="Times New Roman"/>
          <w:sz w:val="24"/>
          <w:szCs w:val="24"/>
          <w:lang w:val="en-ZA"/>
        </w:rPr>
        <w:t xml:space="preserve">prepared by the first author with </w:t>
      </w:r>
      <w:r>
        <w:rPr>
          <w:rFonts w:ascii="Times New Roman" w:eastAsia="Calibri" w:hAnsi="Times New Roman" w:cs="Times New Roman"/>
          <w:sz w:val="24"/>
          <w:szCs w:val="24"/>
          <w:lang w:val="en-ZA"/>
        </w:rPr>
        <w:t>inputs from the other authors.</w:t>
      </w:r>
    </w:p>
    <w:p w:rsidR="00F939A5" w:rsidRDefault="00F939A5" w:rsidP="00F939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ZA"/>
        </w:rPr>
      </w:pPr>
    </w:p>
    <w:p w:rsidR="00522056" w:rsidRDefault="00522056"/>
    <w:sectPr w:rsidR="00522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A5"/>
    <w:rsid w:val="00522056"/>
    <w:rsid w:val="007042DE"/>
    <w:rsid w:val="00F9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85210-080C-4131-9A2D-CC52E861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9A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042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2</cp:revision>
  <dcterms:created xsi:type="dcterms:W3CDTF">2015-05-22T08:35:00Z</dcterms:created>
  <dcterms:modified xsi:type="dcterms:W3CDTF">2015-08-14T08:20:00Z</dcterms:modified>
</cp:coreProperties>
</file>